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>ного округа – Югры Миненко 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ст.15.33 КоАП РФ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исполняя должностные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нахождения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 24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ОСФР по ХМАО-Югре,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.2023 в 00 часов 01 минут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извещена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ч.2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>Форма ЕФС-1 раздел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ОСФР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ХМАО-Югре, фактически предоставив расчет по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отчетности по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ЕФС-1 раздел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скриншотом программного обеспечения с датой поступления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29.01.2024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>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ГАРАЖНОГО СТРОИТЕЛЬНОГО КООПЕРАТИВА «ЩИТ»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Колосницына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Леонидовича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8"/>
          <w:szCs w:val="28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Кор/счет 40102810245370000007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8600</w:t>
      </w:r>
      <w:r>
        <w:rPr>
          <w:rFonts w:ascii="Times New Roman" w:eastAsia="Times New Roman" w:hAnsi="Times New Roman" w:cs="Times New Roman"/>
          <w:sz w:val="28"/>
          <w:szCs w:val="28"/>
        </w:rPr>
        <w:t>0403240072492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7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677"/>
        <w:tab w:val="right" w:pos="9355"/>
      </w:tabs>
      <w:spacing w:before="0" w:after="0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  <w:sz w:val="28"/>
        <w:szCs w:val="28"/>
      </w:rPr>
      <w:t>д</w:t>
    </w:r>
    <w:r>
      <w:rPr>
        <w:rFonts w:ascii="Times New Roman" w:eastAsia="Times New Roman" w:hAnsi="Times New Roman" w:cs="Times New Roman"/>
        <w:sz w:val="28"/>
        <w:szCs w:val="28"/>
      </w:rPr>
      <w:t>ело №5-578</w:t>
    </w:r>
    <w:r>
      <w:rPr>
        <w:rFonts w:ascii="Times New Roman" w:eastAsia="Times New Roman" w:hAnsi="Times New Roman" w:cs="Times New Roman"/>
        <w:sz w:val="28"/>
        <w:szCs w:val="28"/>
      </w:rPr>
      <w:t>-2803/2024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